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E2" w:rsidRDefault="006C66E2">
      <w:pPr>
        <w:pStyle w:val="ConsPlusTitle"/>
        <w:spacing w:before="280"/>
        <w:jc w:val="center"/>
      </w:pPr>
      <w:bookmarkStart w:id="0" w:name="_GoBack"/>
      <w:bookmarkEnd w:id="0"/>
      <w:r>
        <w:t>ЗАЯВКА НА ТЕХНОЛОГИЧЕСКОЕ ПРИСОЕДИНЕНИЕ</w:t>
      </w:r>
    </w:p>
    <w:p w:rsidR="006C66E2" w:rsidRDefault="006C66E2">
      <w:pPr>
        <w:pStyle w:val="ConsPlusTitle"/>
        <w:jc w:val="center"/>
      </w:pPr>
      <w:r>
        <w:t>К ЭЛЕКТРИЧЕСКИМ СЕТЯМ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jc w:val="center"/>
      </w:pPr>
      <w:r>
        <w:t>Материал подготовлен с использованием правовых актов</w:t>
      </w:r>
    </w:p>
    <w:p w:rsidR="006C66E2" w:rsidRDefault="006C66E2">
      <w:pPr>
        <w:pStyle w:val="ConsPlusNormal"/>
        <w:jc w:val="center"/>
      </w:pPr>
      <w:r>
        <w:t>по состоянию на 13 апреля 2020 года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ind w:firstLine="540"/>
        <w:jc w:val="both"/>
      </w:pPr>
      <w:r>
        <w:t>Заключению договора на технологическое присоединение к электрическим сетям обязательно предшествует подача заинтересованным в подключении лицом заявки в адрес системного оператора о предоставлении доступа к услугам. Рассмотрим виды таких заявок и порядок подачи.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jc w:val="center"/>
        <w:outlineLvl w:val="0"/>
      </w:pPr>
      <w:r>
        <w:t>1. Виды заявок на технологическое присоединение</w:t>
      </w:r>
    </w:p>
    <w:p w:rsidR="006C66E2" w:rsidRDefault="006C66E2">
      <w:pPr>
        <w:pStyle w:val="ConsPlusNormal"/>
        <w:jc w:val="center"/>
      </w:pPr>
      <w:r>
        <w:t>к электрическим сетям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ind w:firstLine="540"/>
        <w:jc w:val="both"/>
      </w:pPr>
      <w:r>
        <w:t xml:space="preserve">Согласно </w:t>
      </w: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7</w:t>
        </w:r>
      </w:hyperlink>
      <w:r>
        <w:t xml:space="preserve">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N 861 (далее - Правила присоединения к электрическим сетям), первым этапом процедуры технологического присоединения является подача заявки юридическим или физическим лицом, которое имеет намерение осуществить технологическое присоединение.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8</w:t>
        </w:r>
      </w:hyperlink>
      <w:r>
        <w:t xml:space="preserve"> Правил присоединения к электрическим сетям заявка направляется по формам согласно </w:t>
      </w:r>
      <w:hyperlink r:id="rId6" w:history="1">
        <w:r>
          <w:rPr>
            <w:color w:val="0000FF"/>
          </w:rPr>
          <w:t>приложениям N 4</w:t>
        </w:r>
      </w:hyperlink>
      <w:r>
        <w:t xml:space="preserve"> - </w:t>
      </w:r>
      <w:hyperlink r:id="rId7" w:history="1">
        <w:r>
          <w:rPr>
            <w:color w:val="0000FF"/>
          </w:rPr>
          <w:t>7</w:t>
        </w:r>
      </w:hyperlink>
      <w:r>
        <w:t xml:space="preserve"> к указанным Правилам.</w:t>
      </w:r>
    </w:p>
    <w:p w:rsidR="006C66E2" w:rsidRDefault="006C66E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Правилами</w:t>
        </w:r>
      </w:hyperlink>
      <w:r>
        <w:t xml:space="preserve"> присоединения к электрическим сетям предусмотрены следующие виды заявок: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заявка юридического лица (индивидуального предпринимателя), физического лица на присоединение </w:t>
      </w:r>
      <w:proofErr w:type="spellStart"/>
      <w:r>
        <w:t>энергопринимающих</w:t>
      </w:r>
      <w:proofErr w:type="spellEnd"/>
      <w:r>
        <w:t xml:space="preserve"> устройств (</w:t>
      </w:r>
      <w:hyperlink r:id="rId9" w:history="1">
        <w:r>
          <w:rPr>
            <w:color w:val="0000FF"/>
          </w:rPr>
          <w:t>Приложение 7</w:t>
        </w:r>
      </w:hyperlink>
      <w:r>
        <w:t xml:space="preserve"> к указанным Правилам). Применяется во всех случаях, за исключением предусмотренных </w:t>
      </w:r>
      <w:hyperlink r:id="rId10" w:history="1">
        <w:r>
          <w:rPr>
            <w:color w:val="0000FF"/>
          </w:rPr>
          <w:t>п. п. 12(1)</w:t>
        </w:r>
      </w:hyperlink>
      <w:r>
        <w:t xml:space="preserve"> - </w:t>
      </w:r>
      <w:hyperlink r:id="rId11" w:history="1">
        <w:r>
          <w:rPr>
            <w:color w:val="0000FF"/>
          </w:rPr>
          <w:t>14</w:t>
        </w:r>
      </w:hyperlink>
      <w:r>
        <w:t xml:space="preserve"> Правил присоединения к электрическим сетям, в </w:t>
      </w:r>
      <w:proofErr w:type="spellStart"/>
      <w:r>
        <w:t>т.ч</w:t>
      </w:r>
      <w:proofErr w:type="spellEnd"/>
      <w:r>
        <w:t xml:space="preserve">. в случае направления юридическим лицом или индивидуальным предпринимателем,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свыше 150 кВт и менее 670 кВт (</w:t>
      </w:r>
      <w:hyperlink r:id="rId12" w:history="1">
        <w:r>
          <w:rPr>
            <w:color w:val="0000FF"/>
          </w:rPr>
          <w:t>п. 12</w:t>
        </w:r>
      </w:hyperlink>
      <w:r>
        <w:t xml:space="preserve"> указанных Правил);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заявка для присоединения юридического лица (индивидуального предпринимателя), физического лица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 мощностью до 150 кВт включительно (</w:t>
      </w:r>
      <w:hyperlink r:id="rId13" w:history="1">
        <w:r>
          <w:rPr>
            <w:color w:val="0000FF"/>
          </w:rPr>
          <w:t>п. 12(1)</w:t>
        </w:r>
      </w:hyperlink>
      <w:r>
        <w:t xml:space="preserve"> указанных Правил). Данному виду заявок соответствует форма, указанная в </w:t>
      </w:r>
      <w:hyperlink r:id="rId14" w:history="1">
        <w:r>
          <w:rPr>
            <w:color w:val="0000FF"/>
          </w:rPr>
          <w:t>Приложении N 4</w:t>
        </w:r>
      </w:hyperlink>
      <w:r>
        <w:t xml:space="preserve"> к Правилам присоединения к электрическим сетям;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заявка для временного присоединения </w:t>
      </w:r>
      <w:proofErr w:type="spellStart"/>
      <w:r>
        <w:t>энергопринимающих</w:t>
      </w:r>
      <w:proofErr w:type="spellEnd"/>
      <w:r>
        <w:t xml:space="preserve"> устройств юридического лица (индивидуального предпринимателя), физического лица (</w:t>
      </w:r>
      <w:hyperlink r:id="rId15" w:history="1">
        <w:r>
          <w:rPr>
            <w:color w:val="0000FF"/>
          </w:rPr>
          <w:t>п. 13</w:t>
        </w:r>
      </w:hyperlink>
      <w:r>
        <w:t xml:space="preserve"> указанных Правил). Данному виду заявок соответствует форма, указанная в </w:t>
      </w:r>
      <w:hyperlink r:id="rId16" w:history="1">
        <w:r>
          <w:rPr>
            <w:color w:val="0000FF"/>
          </w:rPr>
          <w:t>Приложении N 5</w:t>
        </w:r>
      </w:hyperlink>
      <w:r>
        <w:t xml:space="preserve"> к Правилам присоединения к электрическим сетям);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заявка для присоединения физического лица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 (</w:t>
      </w:r>
      <w:hyperlink r:id="rId17" w:history="1">
        <w:r>
          <w:rPr>
            <w:color w:val="0000FF"/>
          </w:rPr>
          <w:t>п. 14</w:t>
        </w:r>
      </w:hyperlink>
      <w:r>
        <w:t xml:space="preserve"> указанных Правил). Данному виду заявок соответствует форма, указанная в </w:t>
      </w:r>
      <w:hyperlink r:id="rId18" w:history="1">
        <w:r>
          <w:rPr>
            <w:color w:val="0000FF"/>
          </w:rPr>
          <w:t>Приложении N 6</w:t>
        </w:r>
      </w:hyperlink>
      <w:r>
        <w:t xml:space="preserve"> к Правилам присоединения к электрическим сетям).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jc w:val="center"/>
        <w:outlineLvl w:val="0"/>
      </w:pPr>
      <w:r>
        <w:t>2. Порядок подачи заявки на технологическое присоединение</w:t>
      </w:r>
    </w:p>
    <w:p w:rsidR="006C66E2" w:rsidRDefault="006C66E2">
      <w:pPr>
        <w:pStyle w:val="ConsPlusNormal"/>
        <w:jc w:val="center"/>
      </w:pPr>
      <w:r>
        <w:t>к электрическим сетям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ind w:firstLine="540"/>
        <w:jc w:val="both"/>
      </w:pPr>
      <w:r>
        <w:lastRenderedPageBreak/>
        <w:t xml:space="preserve">В соответствии с </w:t>
      </w:r>
      <w:hyperlink r:id="rId19" w:history="1">
        <w:r>
          <w:rPr>
            <w:color w:val="0000FF"/>
          </w:rPr>
          <w:t>п. 8</w:t>
        </w:r>
      </w:hyperlink>
      <w:r>
        <w:t xml:space="preserve"> Правил присоединения к электрическим сетям заявитель направляет заявку в сетевую организацию, объекты электросетевого хозяйства которой расположены на наименьшем расстоянии от границ участка заявителя любым способом ее подачи (очно, почтой или с использованием официального сайта сетевой организации).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Наряду с использованием документов на бумажном носителе возможно использование таких документов в электронной форме. Сетевая организация, гарантирующий поставщик и заявитель - юридическое лицо или индивидуальный предприниматель подписывают документы в электронной форме с использованием усиленной квалифицированной электронной подписи. Заявитель - физическое лицо подписывает документы в электронной форме простой электронной подписью.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Под наименьшим расстоянием от границ участка заявителя до объектов электросетевого хозяйства сетевой организации понимается минимальное расстояние, измеряемое по прямой линии от границы участка (нахождения присоединяемых </w:t>
      </w:r>
      <w:proofErr w:type="spellStart"/>
      <w:r>
        <w:t>энергопринимающих</w:t>
      </w:r>
      <w:proofErr w:type="spellEnd"/>
      <w:r>
        <w:t xml:space="preserve"> устройств) заявителя до ближайшего объекта электрической сети (опора линий электропередачи, кабельная линия, распределительное устройство, подстанция), имеющего указанный в заявке класс напряжения, существующего или планируемого к вводу в эксплуатацию (</w:t>
      </w:r>
      <w:proofErr w:type="spellStart"/>
      <w:r>
        <w:fldChar w:fldCharType="begin"/>
      </w:r>
      <w:r>
        <w:instrText xml:space="preserve"> HYPERLINK "consultantplus://offline/ref=86EB39BB8F57B62E703E51C848845ADC287BDEC4DD912F78370321D8BA06171F730F02F78C64C6C2E6718FA8C5562B0207D9837FE6h2KCJ"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 п. 8</w:t>
      </w:r>
      <w:r w:rsidRPr="00231F0D">
        <w:rPr>
          <w:color w:val="0000FF"/>
        </w:rPr>
        <w:fldChar w:fldCharType="end"/>
      </w:r>
      <w:r>
        <w:t xml:space="preserve"> Правил присоединения к электрическим сетям).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п. 8(4)</w:t>
        </w:r>
      </w:hyperlink>
      <w:r>
        <w:t xml:space="preserve"> Правил присоединения к электрическим сетям в случае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В случае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относящихся к имуществу общего пользования, расположенному в границах территории садоводства или огородничества, а также </w:t>
      </w:r>
      <w:proofErr w:type="spellStart"/>
      <w:r>
        <w:t>энергопринимающих</w:t>
      </w:r>
      <w:proofErr w:type="spellEnd"/>
      <w:r>
        <w:t xml:space="preserve">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этих </w:t>
      </w:r>
      <w:proofErr w:type="spellStart"/>
      <w:r>
        <w:t>энергопринимающих</w:t>
      </w:r>
      <w:proofErr w:type="spellEnd"/>
      <w:r>
        <w:t xml:space="preserve"> устройств подается в сетевую организацию садоводческим или огородническим некоммерческим товариществом (при наличии) (</w:t>
      </w:r>
      <w:hyperlink r:id="rId21" w:history="1">
        <w:r>
          <w:rPr>
            <w:color w:val="0000FF"/>
          </w:rPr>
          <w:t>п. 8(5)</w:t>
        </w:r>
      </w:hyperlink>
      <w:r>
        <w:t xml:space="preserve"> Правил присоединения к электрическим сетям).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Общий состав сведений, указываемых в заявке, и перечень прилагаемых документов указаны в </w:t>
      </w:r>
      <w:hyperlink r:id="rId22" w:history="1">
        <w:r>
          <w:rPr>
            <w:color w:val="0000FF"/>
          </w:rPr>
          <w:t>п. п. 9</w:t>
        </w:r>
      </w:hyperlink>
      <w:r>
        <w:t xml:space="preserve">, </w:t>
      </w:r>
      <w:hyperlink r:id="rId23" w:history="1">
        <w:r>
          <w:rPr>
            <w:color w:val="0000FF"/>
          </w:rPr>
          <w:t>10</w:t>
        </w:r>
      </w:hyperlink>
      <w:r>
        <w:t xml:space="preserve"> Правил присоединения к электрическим сетям соответственно.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В частности, в заявке указываются: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реквизиты заявителя (для юридических лиц - полное наименование и номер записи в ЕГРЮЛ, для индивидуальных предпринимателей - номер записи в ЕГРИП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наименование и 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запрашиваемая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и их технические характеристики, количество, мощность генераторов и присоединяемых к сети трансформаторов;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количество точек присоединения с указанием технических параметров элементов </w:t>
      </w:r>
      <w:proofErr w:type="spellStart"/>
      <w:r>
        <w:lastRenderedPageBreak/>
        <w:t>энергопринимающих</w:t>
      </w:r>
      <w:proofErr w:type="spellEnd"/>
      <w:r>
        <w:t xml:space="preserve"> устройств;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заявляемая категория надежности </w:t>
      </w:r>
      <w:proofErr w:type="spellStart"/>
      <w:r>
        <w:t>энергопринимающих</w:t>
      </w:r>
      <w:proofErr w:type="spellEnd"/>
      <w:r>
        <w:t xml:space="preserve"> устройств и др.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план расположения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>
        <w:t>кВ</w:t>
      </w:r>
      <w:proofErr w:type="spellEnd"/>
      <w:r>
        <w:t xml:space="preserve">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перечень и мощность </w:t>
      </w:r>
      <w:proofErr w:type="spellStart"/>
      <w:r>
        <w:t>энергопринимающих</w:t>
      </w:r>
      <w:proofErr w:type="spellEnd"/>
      <w:r>
        <w:t xml:space="preserve"> устройств, которые могут быть присоединены к устройствам противоаварийной и режимной автоматики и др.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Конкретные перечни сведений и состав документов в случаях, предусмотренных в </w:t>
      </w:r>
      <w:hyperlink r:id="rId24" w:history="1">
        <w:r>
          <w:rPr>
            <w:color w:val="0000FF"/>
          </w:rPr>
          <w:t>п. п. 12(1)</w:t>
        </w:r>
      </w:hyperlink>
      <w:r>
        <w:t xml:space="preserve"> - </w:t>
      </w:r>
      <w:hyperlink r:id="rId25" w:history="1">
        <w:r>
          <w:rPr>
            <w:color w:val="0000FF"/>
          </w:rPr>
          <w:t>14</w:t>
        </w:r>
      </w:hyperlink>
      <w:r>
        <w:t xml:space="preserve"> Правил присоединения к электрическим сетям, содержатся в указанных пунктах Правил.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В частности, согласно </w:t>
      </w:r>
      <w:hyperlink r:id="rId26" w:history="1">
        <w:r>
          <w:rPr>
            <w:color w:val="0000FF"/>
          </w:rPr>
          <w:t>п. 12(1)</w:t>
        </w:r>
      </w:hyperlink>
      <w:r>
        <w:t xml:space="preserve"> Правил присоединения к электрическим сетям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должны быть указаны: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реквизиты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наименование и 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место нахождения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сроки проектирования и поэтапного введения в эксплуатацию </w:t>
      </w:r>
      <w:proofErr w:type="spellStart"/>
      <w:r>
        <w:t>энергопринимающих</w:t>
      </w:r>
      <w:proofErr w:type="spellEnd"/>
      <w:r>
        <w:t xml:space="preserve"> устройств (в том числе по этапам и очередям);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>
        <w:t>энергопринимающих</w:t>
      </w:r>
      <w:proofErr w:type="spellEnd"/>
      <w:r>
        <w:t xml:space="preserve"> устройств по этапам и очередям;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запрашиваемая 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характер нагрузки (вид экономической деятельности хозяйствующего субъекта);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предложения по порядку расчетов и условиям рассрочки платежа за технологическое присоединение - для заявителей,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свыше 15 и до 150 кВт включительно.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п. 12(2)</w:t>
        </w:r>
      </w:hyperlink>
      <w:r>
        <w:t xml:space="preserve"> Правил присоединения к электрическим сетям юридические лица или </w:t>
      </w:r>
      <w:r>
        <w:lastRenderedPageBreak/>
        <w:t xml:space="preserve">индивидуальные предприниматели,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свыше 15 и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при желании воспользоваться беспроцентной рассрочкой платежа за технологическое присоединение указывают об этом в направляемой ими заявке.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8" w:history="1">
        <w:r>
          <w:rPr>
            <w:color w:val="0000FF"/>
          </w:rPr>
          <w:t>п. 13</w:t>
        </w:r>
      </w:hyperlink>
      <w:r>
        <w:t xml:space="preserve"> Правил присоединения к электрическим сетям в заявке, направляемой заявителем в целях временного технологического присоединения, указываются: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реквизиты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наименование и 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место нахождения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запрашиваемая 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характер нагрузки;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срок электроснабжения </w:t>
      </w:r>
      <w:proofErr w:type="spellStart"/>
      <w:r>
        <w:t>энергопринимающих</w:t>
      </w:r>
      <w:proofErr w:type="spellEnd"/>
      <w:r>
        <w:t xml:space="preserve"> устройств по временной схеме электроснабжения (для заявителей,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включительно).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>
        <w:t>энергопринимающие</w:t>
      </w:r>
      <w:proofErr w:type="spellEnd"/>
      <w:r>
        <w:t xml:space="preserve"> устройства (для заявителей, планирующих осуществить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для юридических лиц - выписка из ЕГРЮЛ, для индивидуальных предпринимателей - выписка из ЕГРИП,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РФ или иного документа, удостоверяющего личность, если заявителем выступает индивидуальный предприниматель или гражданин;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а также информация о реквизитах договора.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включительно.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9" w:history="1">
        <w:r>
          <w:rPr>
            <w:color w:val="0000FF"/>
          </w:rPr>
          <w:t>п. 14</w:t>
        </w:r>
      </w:hyperlink>
      <w:r>
        <w:t xml:space="preserve"> Правил присоединения к электрическим сетям в заявке, направляемой </w:t>
      </w:r>
      <w:r>
        <w:lastRenderedPageBreak/>
        <w:t xml:space="preserve">заявителем - физическим лицом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РФ;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место жительства заявителя;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наименование и 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сроки проектирования и поэтапного введения в эксплуатацию </w:t>
      </w:r>
      <w:proofErr w:type="spellStart"/>
      <w:r>
        <w:t>энергопринимающих</w:t>
      </w:r>
      <w:proofErr w:type="spellEnd"/>
      <w:r>
        <w:t xml:space="preserve"> устройств (в том числе по этапам и очередям);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>-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</w:t>
      </w:r>
    </w:p>
    <w:p w:rsidR="006C66E2" w:rsidRDefault="006C66E2">
      <w:pPr>
        <w:pStyle w:val="ConsPlusNormal"/>
        <w:spacing w:before="220"/>
        <w:ind w:firstLine="540"/>
        <w:jc w:val="both"/>
      </w:pPr>
      <w:r>
        <w:t xml:space="preserve">- запрашиваемая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заявителя.</w:t>
      </w: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jc w:val="both"/>
      </w:pPr>
    </w:p>
    <w:p w:rsidR="006C66E2" w:rsidRDefault="006C66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06F" w:rsidRDefault="0002106F"/>
    <w:sectPr w:rsidR="0002106F" w:rsidSect="008C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2"/>
    <w:rsid w:val="0002106F"/>
    <w:rsid w:val="006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AA90-3996-4CE1-896A-5A2D9418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B39BB8F57B62E703E51C848845ADC287BDEC4DD912F78370321D8BA06171F730F02F38464CA91B13E8EF4830A38000AD9817BFA2E88DChBKFJ" TargetMode="External"/><Relationship Id="rId13" Type="http://schemas.openxmlformats.org/officeDocument/2006/relationships/hyperlink" Target="consultantplus://offline/ref=86EB39BB8F57B62E703E51C848845ADC287BDEC4DD912F78370321D8BA06171F730F02F38465CE96B33E8EF4830A38000AD9817BFA2E88DChBKFJ" TargetMode="External"/><Relationship Id="rId18" Type="http://schemas.openxmlformats.org/officeDocument/2006/relationships/hyperlink" Target="consultantplus://offline/ref=86EB39BB8F57B62E703E51C848845ADC287BDEC4DD912F78370321D8BA06171F730F02F38664C89DE3649EF0CA5D3C1C03C39F7DE42Eh8K8J" TargetMode="External"/><Relationship Id="rId26" Type="http://schemas.openxmlformats.org/officeDocument/2006/relationships/hyperlink" Target="consultantplus://offline/ref=86EB39BB8F57B62E703E51C848845ADC287BDEC4DD912F78370321D8BA06171F730F02F38465CE96B33E8EF4830A38000AD9817BFA2E88DChBK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EB39BB8F57B62E703E51C848845ADC287BDEC4DD912F78370321D8BA06171F730F02F08662CF9DE3649EF0CA5D3C1C03C39F7DE42Eh8K8J" TargetMode="External"/><Relationship Id="rId7" Type="http://schemas.openxmlformats.org/officeDocument/2006/relationships/hyperlink" Target="consultantplus://offline/ref=86EB39BB8F57B62E703E51C848845ADC287BDEC4DD912F78370321D8BA06171F730F02F38667CE9DE3649EF0CA5D3C1C03C39F7DE42Eh8K8J" TargetMode="External"/><Relationship Id="rId12" Type="http://schemas.openxmlformats.org/officeDocument/2006/relationships/hyperlink" Target="consultantplus://offline/ref=86EB39BB8F57B62E703E51C848845ADC287BDEC4DD912F78370321D8BA06171F730F02F4846CC6C2E6718FA8C5562B0207D9837FE6h2KCJ" TargetMode="External"/><Relationship Id="rId17" Type="http://schemas.openxmlformats.org/officeDocument/2006/relationships/hyperlink" Target="consultantplus://offline/ref=86EB39BB8F57B62E703E51C848845ADC287BDEC4DD912F78370321D8BA06171F730F02F38465CD9EB73E8EF4830A38000AD9817BFA2E88DChBKFJ" TargetMode="External"/><Relationship Id="rId25" Type="http://schemas.openxmlformats.org/officeDocument/2006/relationships/hyperlink" Target="consultantplus://offline/ref=86EB39BB8F57B62E703E51C848845ADC287BDEC4DD912F78370321D8BA06171F730F02F38465CD9EB73E8EF4830A38000AD9817BFA2E88DChBK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EB39BB8F57B62E703E51C848845ADC287BDEC4DD912F78370321D8BA06171F730F02F38563C59DE3649EF0CA5D3C1C03C39F7DE42Eh8K8J" TargetMode="External"/><Relationship Id="rId20" Type="http://schemas.openxmlformats.org/officeDocument/2006/relationships/hyperlink" Target="consultantplus://offline/ref=86EB39BB8F57B62E703E51C848845ADC287BDEC4DD912F78370321D8BA06171F730F02F48167C6C2E6718FA8C5562B0207D9837FE6h2KCJ" TargetMode="External"/><Relationship Id="rId29" Type="http://schemas.openxmlformats.org/officeDocument/2006/relationships/hyperlink" Target="consultantplus://offline/ref=86EB39BB8F57B62E703E51C848845ADC287BDEC4DD912F78370321D8BA06171F730F02F38465CD9EB73E8EF4830A38000AD9817BFA2E88DChBK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B39BB8F57B62E703E51C848845ADC287BDEC4DD912F78370321D8BA06171F730F02F38567C59DE3649EF0CA5D3C1C03C39F7DE42Eh8K8J" TargetMode="External"/><Relationship Id="rId11" Type="http://schemas.openxmlformats.org/officeDocument/2006/relationships/hyperlink" Target="consultantplus://offline/ref=86EB39BB8F57B62E703E51C848845ADC287BDEC4DD912F78370321D8BA06171F730F02F38465CD9EB73E8EF4830A38000AD9817BFA2E88DChBKFJ" TargetMode="External"/><Relationship Id="rId24" Type="http://schemas.openxmlformats.org/officeDocument/2006/relationships/hyperlink" Target="consultantplus://offline/ref=86EB39BB8F57B62E703E51C848845ADC287BDEC4DD912F78370321D8BA06171F730F02F38465CE96B33E8EF4830A38000AD9817BFA2E88DChBKFJ" TargetMode="External"/><Relationship Id="rId5" Type="http://schemas.openxmlformats.org/officeDocument/2006/relationships/hyperlink" Target="consultantplus://offline/ref=86EB39BB8F57B62E703E51C848845ADC287BDEC4DD912F78370321D8BA06171F730F02F38460CC9DE3649EF0CA5D3C1C03C39F7DE42Eh8K8J" TargetMode="External"/><Relationship Id="rId15" Type="http://schemas.openxmlformats.org/officeDocument/2006/relationships/hyperlink" Target="consultantplus://offline/ref=86EB39BB8F57B62E703E51C848845ADC287BDEC4DD912F78370321D8BA06171F730F02F4846DC6C2E6718FA8C5562B0207D9837FE6h2KCJ" TargetMode="External"/><Relationship Id="rId23" Type="http://schemas.openxmlformats.org/officeDocument/2006/relationships/hyperlink" Target="consultantplus://offline/ref=86EB39BB8F57B62E703E51C848845ADC287BDEC4DD912F78370321D8BA06171F730F02F38464CB9EB53E8EF4830A38000AD9817BFA2E88DChBKFJ" TargetMode="External"/><Relationship Id="rId28" Type="http://schemas.openxmlformats.org/officeDocument/2006/relationships/hyperlink" Target="consultantplus://offline/ref=86EB39BB8F57B62E703E51C848845ADC287BDEC4DD912F78370321D8BA06171F730F02F4846DC6C2E6718FA8C5562B0207D9837FE6h2KCJ" TargetMode="External"/><Relationship Id="rId10" Type="http://schemas.openxmlformats.org/officeDocument/2006/relationships/hyperlink" Target="consultantplus://offline/ref=86EB39BB8F57B62E703E51C848845ADC287BDEC4DD912F78370321D8BA06171F730F02F38465CE96B33E8EF4830A38000AD9817BFA2E88DChBKFJ" TargetMode="External"/><Relationship Id="rId19" Type="http://schemas.openxmlformats.org/officeDocument/2006/relationships/hyperlink" Target="consultantplus://offline/ref=86EB39BB8F57B62E703E51C848845ADC287BDEC4DD912F78370321D8BA06171F730F02F38460CC9DE3649EF0CA5D3C1C03C39F7DE42Eh8K8J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86EB39BB8F57B62E703E51C848845ADC287BDEC4DD912F78370321D8BA06171F730F02F08064C89DE3649EF0CA5D3C1C03C39F7DE42Eh8K8J" TargetMode="External"/><Relationship Id="rId9" Type="http://schemas.openxmlformats.org/officeDocument/2006/relationships/hyperlink" Target="consultantplus://offline/ref=86EB39BB8F57B62E703E51C848845ADC287BDEC4DD912F78370321D8BA06171F730F02F38667CE9DE3649EF0CA5D3C1C03C39F7DE42Eh8K8J" TargetMode="External"/><Relationship Id="rId14" Type="http://schemas.openxmlformats.org/officeDocument/2006/relationships/hyperlink" Target="consultantplus://offline/ref=86EB39BB8F57B62E703E51C848845ADC287BDEC4DD912F78370321D8BA06171F730F02F38567C59DE3649EF0CA5D3C1C03C39F7DE42Eh8K8J" TargetMode="External"/><Relationship Id="rId22" Type="http://schemas.openxmlformats.org/officeDocument/2006/relationships/hyperlink" Target="consultantplus://offline/ref=86EB39BB8F57B62E703E51C848845ADC287BDEC4DD912F78370321D8BA06171F730F02F38464CA9EBE3E8EF4830A38000AD9817BFA2E88DChBKFJ" TargetMode="External"/><Relationship Id="rId27" Type="http://schemas.openxmlformats.org/officeDocument/2006/relationships/hyperlink" Target="consultantplus://offline/ref=86EB39BB8F57B62E703E51C848845ADC287BDEC4DD912F78370321D8BA06171F730F02F6876CC6C2E6718FA8C5562B0207D9837FE6h2KC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2637</Words>
  <Characters>15033</Characters>
  <Application>Microsoft Office Word</Application>
  <DocSecurity>0</DocSecurity>
  <Lines>125</Lines>
  <Paragraphs>35</Paragraphs>
  <ScaleCrop>false</ScaleCrop>
  <Company>HP</Company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ЛВА</dc:creator>
  <cp:keywords/>
  <dc:description/>
  <cp:lastModifiedBy>ЛВА</cp:lastModifiedBy>
  <cp:revision>1</cp:revision>
  <dcterms:created xsi:type="dcterms:W3CDTF">2020-04-29T09:10:00Z</dcterms:created>
  <dcterms:modified xsi:type="dcterms:W3CDTF">2020-04-29T09:11:00Z</dcterms:modified>
</cp:coreProperties>
</file>